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927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927"/>
              <w:rPr>
                <w:b/>
                <w:bCs/>
              </w:rPr>
            </w:pPr>
            <w:r>
              <w:rPr>
                <w:b/>
              </w:rPr>
              <w:t xml:space="preserve">Первый заместитель генерального директора – главный инженер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927"/>
              <w:rPr>
                <w:b/>
                <w:bCs/>
              </w:rPr>
            </w:pPr>
            <w:r>
              <w:rPr>
                <w:b/>
              </w:rPr>
            </w:r>
            <w:r>
              <w:rPr>
                <w:b/>
              </w:rPr>
              <w:t xml:space="preserve">ПАО «Россети Урал»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92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927"/>
              <w:rPr>
                <w:b/>
              </w:rPr>
            </w:pPr>
            <w:r>
              <w:rPr>
                <w:b/>
              </w:rPr>
              <w:t xml:space="preserve">__________________ В.А. Рябушев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927"/>
              <w:jc w:val="right"/>
            </w:pPr>
            <w:r/>
            <w:r/>
          </w:p>
          <w:p>
            <w:r>
              <w:rPr>
                <w:b/>
              </w:rPr>
              <w:t xml:space="preserve">                </w:t>
            </w:r>
            <w:r>
              <w:rPr>
                <w:b/>
              </w:rPr>
              <w:t xml:space="preserve">«_____» ________________2026</w:t>
            </w:r>
            <w:r>
              <w:rPr>
                <w:b/>
              </w:rPr>
              <w:t xml:space="preserve"> г.</w:t>
            </w:r>
            <w:r/>
          </w:p>
        </w:tc>
      </w:tr>
    </w:tbl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center"/>
        <w:spacing w:line="276" w:lineRule="auto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43"/>
        <w:jc w:val="center"/>
        <w:rPr>
          <w:i w:val="0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  <w:t xml:space="preserve">Т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ЕХНИЧЕСКОЕ ЗАДАНИЕ</w:t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pStyle w:val="955"/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43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сравнения цен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 в электронной форме,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 участниками которого могут быть 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любые лица</w:t>
      </w:r>
      <w:r>
        <w:rPr>
          <w:i w:val="0"/>
          <w:color w:val="000000" w:themeColor="text1"/>
          <w:sz w:val="24"/>
          <w:szCs w:val="24"/>
          <w:highlight w:val="none"/>
        </w:rPr>
        <w:t xml:space="preserve"> (далее - закупка):</w:t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Предмет </w:t>
      </w:r>
      <w:r>
        <w:rPr>
          <w:b/>
          <w:color w:val="000000" w:themeColor="text1"/>
          <w:sz w:val="24"/>
          <w:szCs w:val="24"/>
          <w:highlight w:val="none"/>
        </w:rPr>
        <w:t xml:space="preserve">закупки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55"/>
        <w:jc w:val="both"/>
        <w:tabs>
          <w:tab w:val="left" w:pos="709" w:leader="none"/>
        </w:tabs>
        <w:rPr>
          <w:b/>
          <w:highlight w:val="none"/>
        </w:rPr>
      </w:pPr>
      <w:r>
        <w:rPr>
          <w:highlight w:val="none"/>
        </w:rPr>
        <w:t xml:space="preserve">Право заключения до</w:t>
      </w:r>
      <w:r>
        <w:rPr>
          <w:highlight w:val="none"/>
        </w:rPr>
        <w:t xml:space="preserve">говора </w:t>
      </w:r>
      <w:r>
        <w:rPr>
          <w:highlight w:val="none"/>
        </w:rPr>
        <w:t xml:space="preserve">оказания услуг по проведению измерений факторов производственной среды на рабочих местах исполнительного аппарата ПАО «Россети Урал»</w:t>
      </w:r>
      <w:r>
        <w:rPr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Основание для проведения </w:t>
      </w:r>
      <w:r>
        <w:rPr>
          <w:b/>
          <w:color w:val="000000" w:themeColor="text1"/>
          <w:sz w:val="24"/>
          <w:szCs w:val="24"/>
          <w:highlight w:val="none"/>
        </w:rPr>
        <w:t xml:space="preserve">закупки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  <w:t xml:space="preserve">Выписка из протокола ЦЗО № 10-07/4 от 27.07.2026.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both"/>
        <w:spacing w:line="274" w:lineRule="auto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Заказчик:</w:t>
      </w:r>
      <w:r>
        <w:rPr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П</w:t>
      </w:r>
      <w:r>
        <w:rPr>
          <w:color w:val="000000" w:themeColor="text1"/>
          <w:sz w:val="24"/>
          <w:szCs w:val="24"/>
          <w:highlight w:val="none"/>
        </w:rPr>
        <w:t xml:space="preserve">АО «</w:t>
      </w:r>
      <w:r>
        <w:rPr>
          <w:color w:val="000000" w:themeColor="text1"/>
          <w:sz w:val="24"/>
          <w:szCs w:val="24"/>
          <w:highlight w:val="none"/>
        </w:rPr>
        <w:t xml:space="preserve">Россети Урал</w:t>
      </w:r>
      <w:r>
        <w:rPr>
          <w:color w:val="000000" w:themeColor="text1"/>
          <w:sz w:val="24"/>
          <w:szCs w:val="24"/>
          <w:highlight w:val="none"/>
        </w:rPr>
        <w:t xml:space="preserve">»</w:t>
      </w:r>
      <w:r>
        <w:rPr>
          <w:color w:val="000000" w:themeColor="text1"/>
          <w:sz w:val="24"/>
          <w:szCs w:val="24"/>
          <w:highlight w:val="none"/>
        </w:rPr>
        <w:t xml:space="preserve">.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Место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b/>
          <w:color w:val="000000" w:themeColor="text1"/>
          <w:sz w:val="24"/>
          <w:szCs w:val="24"/>
          <w:highlight w:val="none"/>
        </w:rPr>
        <w:t xml:space="preserve">выполнения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/оказания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г. Екатеринбург, ул. Мамина-Сибиряка, стр. 140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eastAsia="MS Mincho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eastAsia="MS Mincho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Срок выполнения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/оказания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Cs/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с момента заключения договора по</w:t>
      </w:r>
      <w:r>
        <w:rPr>
          <w:bCs/>
          <w:highlight w:val="none"/>
        </w:rPr>
        <w:t xml:space="preserve"> 15.12.2026г.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62"/>
        <w:tabs>
          <w:tab w:val="clear" w:pos="0" w:leader="none"/>
          <w:tab w:val="left" w:pos="708" w:leader="none"/>
        </w:tabs>
        <w:rPr>
          <w:bCs/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Источник финансирования: </w:t>
      </w:r>
      <w:r>
        <w:rPr>
          <w:color w:val="000000" w:themeColor="text1"/>
          <w:sz w:val="24"/>
          <w:szCs w:val="24"/>
          <w:highlight w:val="none"/>
        </w:rPr>
        <w:t xml:space="preserve">себестоимость.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Ценовые показатели: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tbl>
      <w:tblPr>
        <w:tblW w:w="96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7"/>
        <w:gridCol w:w="3493"/>
        <w:gridCol w:w="2126"/>
        <w:gridCol w:w="1276"/>
        <w:gridCol w:w="1559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закупка/лот (</w:t>
            </w:r>
            <w:r>
              <w:rPr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ID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заявки)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Наименование лота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Начальная (максимальная) цена в руб. с НДС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в т.ч. НДС,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%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Код ОКПД2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 62091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  <w:t xml:space="preserve">Проведение измерений факторов производственной среды на рабочих местах исполнительного аппарата ПАО «Россети Урал»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48 495,00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71.20.11.190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ab/>
      </w:r>
      <w:r>
        <w:rPr>
          <w:color w:val="000000" w:themeColor="text1"/>
          <w:sz w:val="24"/>
          <w:szCs w:val="24"/>
          <w:highlight w:val="none"/>
        </w:rPr>
        <w:t xml:space="preserve">Начальная (максимальная) ц</w:t>
      </w:r>
      <w:r>
        <w:rPr>
          <w:color w:val="000000" w:themeColor="text1"/>
          <w:sz w:val="24"/>
          <w:szCs w:val="24"/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num" w:pos="0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Условия оплаты.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i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</w:t>
      </w:r>
      <w:r>
        <w:rPr>
          <w:color w:val="000000" w:themeColor="text1"/>
          <w:sz w:val="24"/>
          <w:szCs w:val="24"/>
          <w:highlight w:val="none"/>
        </w:rPr>
        <w:t xml:space="preserve">30</w:t>
      </w:r>
      <w:r>
        <w:rPr>
          <w:color w:val="000000" w:themeColor="text1"/>
          <w:sz w:val="24"/>
          <w:szCs w:val="24"/>
          <w:highlight w:val="none"/>
        </w:rPr>
        <w:t xml:space="preserve"> (</w:t>
      </w:r>
      <w:r>
        <w:rPr>
          <w:color w:val="000000" w:themeColor="text1"/>
          <w:sz w:val="24"/>
          <w:szCs w:val="24"/>
          <w:highlight w:val="none"/>
        </w:rPr>
        <w:t xml:space="preserve">тридцати</w:t>
      </w:r>
      <w:r>
        <w:rPr>
          <w:color w:val="000000" w:themeColor="text1"/>
          <w:sz w:val="24"/>
          <w:szCs w:val="24"/>
          <w:highlight w:val="none"/>
        </w:rPr>
        <w:t xml:space="preserve">) </w:t>
      </w:r>
      <w:r>
        <w:rPr>
          <w:color w:val="000000" w:themeColor="text1"/>
          <w:sz w:val="24"/>
          <w:szCs w:val="24"/>
          <w:highlight w:val="none"/>
        </w:rPr>
        <w:t xml:space="preserve">рабочих </w:t>
      </w:r>
      <w:r>
        <w:rPr>
          <w:color w:val="000000" w:themeColor="text1"/>
          <w:sz w:val="24"/>
          <w:szCs w:val="24"/>
          <w:highlight w:val="none"/>
        </w:rPr>
        <w:t xml:space="preserve">дней</w:t>
      </w:r>
      <w:r>
        <w:rPr>
          <w:color w:val="000000" w:themeColor="text1"/>
          <w:sz w:val="24"/>
          <w:szCs w:val="24"/>
          <w:highlight w:val="none"/>
          <w:vertAlign w:val="superscript"/>
        </w:rPr>
        <w:footnoteReference w:id="2"/>
      </w:r>
      <w:r>
        <w:rPr>
          <w:color w:val="000000" w:themeColor="text1"/>
          <w:sz w:val="24"/>
          <w:szCs w:val="24"/>
          <w:highlight w:val="none"/>
        </w:rPr>
        <w:t xml:space="preserve"> со дня подписания Заказчиком документа о приемке оказанных услуг при наличии подписанного </w:t>
      </w:r>
      <w:r>
        <w:rPr>
          <w:color w:val="000000" w:themeColor="text1"/>
          <w:sz w:val="24"/>
          <w:szCs w:val="24"/>
          <w:highlight w:val="none"/>
        </w:rPr>
        <w:t xml:space="preserve">Сторонами Договора оказания услуг в оригинале, </w:t>
      </w:r>
      <w:r>
        <w:rPr>
          <w:iCs/>
          <w:color w:val="000000" w:themeColor="text1"/>
          <w:sz w:val="24"/>
          <w:szCs w:val="24"/>
          <w:highlight w:val="none"/>
        </w:rPr>
        <w:t xml:space="preserve">в соответствии с п.2.2.</w:t>
      </w:r>
      <w:r>
        <w:rPr>
          <w:iCs/>
          <w:color w:val="000000" w:themeColor="text1"/>
          <w:sz w:val="24"/>
          <w:szCs w:val="24"/>
          <w:highlight w:val="none"/>
        </w:rPr>
        <w:t xml:space="preserve"> Договора (Приложение №3 к настоящему ТЗ).</w:t>
      </w:r>
      <w:r>
        <w:rPr>
          <w:iCs/>
          <w:color w:val="000000" w:themeColor="text1"/>
          <w:sz w:val="24"/>
          <w:szCs w:val="24"/>
          <w:highlight w:val="none"/>
        </w:rPr>
      </w:r>
      <w:r>
        <w:rPr>
          <w:iCs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Требования к организации и </w:t>
      </w:r>
      <w:r>
        <w:rPr>
          <w:b/>
          <w:color w:val="000000" w:themeColor="text1"/>
          <w:sz w:val="24"/>
          <w:szCs w:val="24"/>
          <w:highlight w:val="none"/>
        </w:rPr>
        <w:t xml:space="preserve">ведению работ</w:t>
      </w:r>
      <w:r>
        <w:rPr>
          <w:b/>
          <w:color w:val="000000" w:themeColor="text1"/>
          <w:sz w:val="24"/>
          <w:szCs w:val="24"/>
          <w:highlight w:val="none"/>
        </w:rPr>
        <w:t xml:space="preserve">/оказанию услуг</w:t>
      </w:r>
      <w:r>
        <w:rPr>
          <w:b/>
          <w:color w:val="000000" w:themeColor="text1"/>
          <w:sz w:val="24"/>
          <w:szCs w:val="24"/>
          <w:highlight w:val="none"/>
        </w:rPr>
        <w:t xml:space="preserve">: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Услуги должны быть выполнены в соответствии настоящим техническим заданием (далее – ТЗ), договором оказания услуг (Приложение №2 к настоящему ТЗ).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слуги</w:t>
      </w:r>
      <w:r>
        <w:rPr>
          <w:highlight w:val="none"/>
        </w:rPr>
        <w:t xml:space="preserve"> должны быть выполнены с соблюдением </w:t>
      </w:r>
      <w:r>
        <w:rPr>
          <w:highlight w:val="none"/>
        </w:rPr>
        <w:t xml:space="preserve">требований,</w:t>
      </w:r>
      <w:r>
        <w:rPr>
          <w:highlight w:val="none"/>
        </w:rPr>
        <w:t xml:space="preserve"> действующих РД, СП, СНиП, требованиями ПУЭ, действующим законодательством Российской Федерации: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0"/>
          <w:numId w:val="46"/>
        </w:numPr>
        <w:ind w:left="0" w:right="0" w:firstLine="709"/>
        <w:jc w:val="both"/>
      </w:pPr>
      <w:r>
        <w:rPr>
          <w:highlight w:val="none"/>
        </w:rPr>
        <w:t xml:space="preserve">Федеральный закон Российской Федерации от 30.03.1999 № 52 ФЗ «О санитарно-эпидемиологическом благополучии населения»;</w:t>
      </w:r>
      <w:r/>
    </w:p>
    <w:p>
      <w:pPr>
        <w:pStyle w:val="956"/>
        <w:numPr>
          <w:ilvl w:val="0"/>
          <w:numId w:val="46"/>
        </w:numPr>
        <w:ind w:left="0" w:right="0"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 </w:t>
      </w:r>
      <w:r>
        <w:rPr>
          <w:highlight w:val="none"/>
        </w:rPr>
        <w:t xml:space="preserve">Федеральный закон Российской Федерации</w:t>
      </w:r>
      <w:r>
        <w:rPr>
          <w:highlight w:val="none"/>
        </w:rPr>
        <w:t xml:space="preserve"> от 26.06.2008 </w:t>
      </w:r>
      <w:r>
        <w:rPr>
          <w:highlight w:val="none"/>
        </w:rPr>
        <w:t xml:space="preserve">№102-ФЗ </w:t>
      </w:r>
      <w:r>
        <w:rPr>
          <w:highlight w:val="none"/>
        </w:rPr>
        <w:t xml:space="preserve">«Об обеспечении единства измерений»;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numPr>
          <w:ilvl w:val="0"/>
          <w:numId w:val="46"/>
        </w:numPr>
        <w:ind w:left="0" w:right="0"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Санитарных правил </w:t>
      </w:r>
      <w:r>
        <w:rPr>
          <w:highlight w:val="none"/>
        </w:rPr>
        <w:t xml:space="preserve">СП 1.1.1058-01 </w:t>
      </w:r>
      <w:r>
        <w:rPr>
          <w:highlight w:val="none"/>
        </w:rPr>
        <w:t xml:space="preserve">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утвержденных Главным государственным санитарным врачом Ро</w:t>
      </w:r>
      <w:r>
        <w:rPr>
          <w:highlight w:val="none"/>
        </w:rPr>
        <w:t xml:space="preserve">ссийской Федерации 10.07.2001 г.;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numPr>
          <w:ilvl w:val="0"/>
          <w:numId w:val="46"/>
        </w:numPr>
        <w:ind w:left="0" w:right="0"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Санитарных правил СП 2.2.3670-20 «Санитарно-эпидемиологические требования к условиям труда», утвержденных Постановлением Главного государственного санитарного врача Российской Федерации от 02.12.2020 № 40.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Исполнитель </w:t>
      </w:r>
      <w:r>
        <w:rPr>
          <w:color w:val="000000" w:themeColor="text1"/>
          <w:sz w:val="24"/>
          <w:szCs w:val="24"/>
          <w:highlight w:val="none"/>
        </w:rPr>
        <w:t xml:space="preserve">должен оказывать услуги на основании аттестата аккредитации испытательной лаборатории (центра).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Исполнитель до заключения договора должен предоставить Заказчику копию аттестата аккредитации испытательной лаборатории (центра).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оказать услуги определенные настоящим ТЗ и договором оказания услуг</w:t>
      </w:r>
      <w:r>
        <w:rPr>
          <w:iCs/>
          <w:highlight w:val="none"/>
        </w:rPr>
        <w:t xml:space="preserve"> (Приложение №2 к настоящему ТЗ).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84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color w:val="000000" w:themeColor="text1"/>
          <w:sz w:val="24"/>
          <w:szCs w:val="24"/>
          <w:highlight w:val="none"/>
        </w:rPr>
      </w:pPr>
      <w:r>
        <w:rPr>
          <w:rFonts w:eastAsia="SimSun"/>
          <w:color w:val="000000" w:themeColor="text1"/>
          <w:sz w:val="24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color w:val="000000" w:themeColor="text1"/>
          <w:sz w:val="24"/>
          <w:szCs w:val="24"/>
          <w:highlight w:val="none"/>
        </w:rPr>
      </w:r>
      <w:r>
        <w:rPr>
          <w:rFonts w:eastAsia="SimSun"/>
          <w:color w:val="000000" w:themeColor="text1"/>
          <w:sz w:val="24"/>
          <w:szCs w:val="24"/>
          <w:highlight w:val="none"/>
        </w:rPr>
      </w:r>
    </w:p>
    <w:p>
      <w:pPr>
        <w:pStyle w:val="985"/>
        <w:numPr>
          <w:ilvl w:val="1"/>
          <w:numId w:val="2"/>
        </w:num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оказания услуг должно соответствовать требованиям Технического задания (</w:t>
      </w:r>
      <w:r>
        <w:rPr>
          <w:color w:val="000000" w:themeColor="text1"/>
          <w:sz w:val="24"/>
          <w:szCs w:val="24"/>
          <w:highlight w:val="none"/>
        </w:rPr>
        <w:t xml:space="preserve">«Техническая часть» Документации).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color w:val="000000" w:themeColor="text1"/>
          <w:sz w:val="24"/>
          <w:szCs w:val="24"/>
          <w:highlight w:val="none"/>
        </w:rPr>
      </w:pP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color w:val="000000" w:themeColor="text1"/>
          <w:sz w:val="24"/>
          <w:szCs w:val="24"/>
          <w:highlight w:val="none"/>
        </w:rPr>
        <w:t xml:space="preserve">настоящего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ТЗ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.</w:t>
      </w:r>
      <w:r>
        <w:rPr>
          <w:rFonts w:eastAsia="MS Mincho"/>
          <w:color w:val="000000" w:themeColor="text1"/>
          <w:sz w:val="24"/>
          <w:szCs w:val="24"/>
          <w:highlight w:val="none"/>
        </w:rPr>
      </w:r>
      <w:r>
        <w:rPr>
          <w:rFonts w:eastAsia="MS Mincho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MS Mincho"/>
          <w:color w:val="000000" w:themeColor="text1"/>
          <w:sz w:val="24"/>
          <w:szCs w:val="24"/>
          <w:highlight w:val="none"/>
        </w:rPr>
      </w:r>
      <w:r>
        <w:rPr>
          <w:rFonts w:eastAsia="MS Mincho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0"/>
          <w:numId w:val="0"/>
        </w:numPr>
        <w:contextualSpacing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84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color w:val="000000" w:themeColor="text1"/>
          <w:sz w:val="24"/>
          <w:szCs w:val="24"/>
          <w:highlight w:val="none"/>
        </w:rPr>
      </w:pPr>
      <w:r>
        <w:rPr>
          <w:rFonts w:eastAsia="SimSun"/>
          <w:color w:val="000000" w:themeColor="text1"/>
          <w:sz w:val="24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color w:val="000000" w:themeColor="text1"/>
          <w:sz w:val="24"/>
          <w:szCs w:val="24"/>
          <w:highlight w:val="none"/>
        </w:rPr>
      </w:r>
      <w:r>
        <w:rPr>
          <w:rFonts w:eastAsia="SimSun"/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1"/>
          <w:numId w:val="2"/>
        </w:numPr>
        <w:ind w:left="0" w:firstLine="0"/>
        <w:jc w:val="both"/>
        <w:rPr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</w:r>
      <w:r>
        <w:rPr>
          <w:rFonts w:eastAsia="Calibri"/>
          <w:color w:val="000000" w:themeColor="text1"/>
          <w:szCs w:val="20"/>
          <w:highlight w:val="none"/>
          <w:lang w:eastAsia="en-US"/>
        </w:rPr>
        <w:t xml:space="preserve">Техническое предложение, заполненное Участником по форме  Приложения №3 к Техническому заданию, в соответствии с инструкцией по заполнению,  с указанием информации в объеме, достаточном для анализа выполнения  требований настоящего Технического задания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В составе ценового предложения Участник д</w:t>
      </w:r>
      <w:r>
        <w:rPr>
          <w:color w:val="000000" w:themeColor="text1"/>
          <w:sz w:val="24"/>
          <w:szCs w:val="24"/>
          <w:highlight w:val="none"/>
        </w:rPr>
        <w:t xml:space="preserve">олжен предоставить Приложение №4</w:t>
      </w:r>
      <w:r>
        <w:rPr>
          <w:color w:val="000000" w:themeColor="text1"/>
          <w:sz w:val="24"/>
          <w:szCs w:val="24"/>
          <w:highlight w:val="none"/>
        </w:rPr>
        <w:t xml:space="preserve"> к Техническому заданию – Расчет стоимости услуг, 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Не допускается изменять форму </w:t>
      </w:r>
      <w:r>
        <w:rPr>
          <w:color w:val="000000" w:themeColor="text1"/>
          <w:sz w:val="24"/>
          <w:szCs w:val="24"/>
          <w:highlight w:val="none"/>
        </w:rPr>
        <w:t xml:space="preserve">Приложение №</w:t>
      </w:r>
      <w:r>
        <w:rPr>
          <w:color w:val="000000" w:themeColor="text1"/>
          <w:sz w:val="24"/>
          <w:szCs w:val="24"/>
          <w:highlight w:val="none"/>
        </w:rPr>
        <w:t xml:space="preserve">4</w:t>
      </w:r>
      <w:r>
        <w:rPr>
          <w:color w:val="000000" w:themeColor="text1"/>
          <w:sz w:val="24"/>
          <w:szCs w:val="24"/>
          <w:highlight w:val="none"/>
        </w:rPr>
        <w:t xml:space="preserve"> к Техническому заданию -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Расчет стоимости услуг</w:t>
      </w:r>
      <w:r>
        <w:rPr>
          <w:rFonts w:eastAsia="Calibri"/>
          <w:color w:val="000000" w:themeColor="text1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Несоответствие Расчета стоимости</w:t>
      </w:r>
      <w:r>
        <w:rPr>
          <w:color w:val="000000" w:themeColor="text1"/>
          <w:sz w:val="24"/>
          <w:szCs w:val="24"/>
          <w:highlight w:val="none"/>
        </w:rPr>
        <w:t xml:space="preserve"> услуг</w:t>
      </w:r>
      <w:r>
        <w:rPr>
          <w:color w:val="000000" w:themeColor="text1"/>
          <w:sz w:val="24"/>
          <w:szCs w:val="24"/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0"/>
          <w:numId w:val="0"/>
        </w:numPr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86"/>
        <w:numPr>
          <w:ilvl w:val="0"/>
          <w:numId w:val="0"/>
        </w:numPr>
        <w:spacing w:before="0" w:after="0"/>
        <w:tabs>
          <w:tab w:val="left" w:pos="709" w:leader="none"/>
          <w:tab w:val="left" w:pos="1701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Выбор победителя закупки</w:t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79"/>
        <w:ind w:firstLine="70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0"/>
          <w:numId w:val="41"/>
        </w:numPr>
        <w:ind w:left="0" w:right="0" w:firstLine="709"/>
        <w:jc w:val="both"/>
        <w:tabs>
          <w:tab w:val="left" w:pos="850" w:leader="none"/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0"/>
          <w:numId w:val="41"/>
        </w:numPr>
        <w:ind w:left="0" w:right="0" w:firstLine="709"/>
        <w:jc w:val="both"/>
        <w:tabs>
          <w:tab w:val="left" w:pos="850" w:leader="none"/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в случае заключения договора с участником закупки, указанным в 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пп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пп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. а) настоящего пункта;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56"/>
        <w:numPr>
          <w:ilvl w:val="0"/>
          <w:numId w:val="41"/>
        </w:numPr>
        <w:ind w:left="0" w:right="0" w:firstLine="709"/>
        <w:jc w:val="both"/>
        <w:tabs>
          <w:tab w:val="left" w:pos="850" w:leader="none"/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74"/>
        <w:ind w:left="0" w:right="0" w:firstLine="0"/>
        <w:spacing w:after="0" w:afterAutospacing="0" w:line="276" w:lineRule="auto"/>
        <w:tabs>
          <w:tab w:val="left" w:pos="709" w:leader="none"/>
        </w:tabs>
        <w:rPr>
          <w:b/>
          <w:i/>
          <w:color w:val="000000" w:themeColor="text1"/>
          <w:sz w:val="24"/>
          <w:szCs w:val="24"/>
          <w:highlight w:val="none"/>
        </w:rPr>
      </w:pPr>
      <w:r>
        <w:rPr>
          <w:b/>
          <w:i/>
          <w:color w:val="000000" w:themeColor="text1"/>
          <w:sz w:val="24"/>
          <w:szCs w:val="24"/>
          <w:highlight w:val="none"/>
        </w:rPr>
      </w:r>
      <w:r>
        <w:rPr>
          <w:b/>
          <w:i/>
          <w:color w:val="000000" w:themeColor="text1"/>
          <w:sz w:val="24"/>
          <w:szCs w:val="24"/>
          <w:highlight w:val="none"/>
        </w:rPr>
      </w:r>
      <w:r>
        <w:rPr>
          <w:b/>
          <w:i/>
          <w:color w:val="000000" w:themeColor="text1"/>
          <w:sz w:val="24"/>
          <w:szCs w:val="24"/>
          <w:highlight w:val="none"/>
        </w:rPr>
      </w:r>
    </w:p>
    <w:p>
      <w:pPr>
        <w:pStyle w:val="956"/>
        <w:ind w:left="0"/>
        <w:jc w:val="both"/>
        <w:spacing w:after="0" w:afterAutospacing="0" w:line="283" w:lineRule="atLeast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color w:val="000000" w:themeColor="text1"/>
          <w:sz w:val="24"/>
          <w:szCs w:val="24"/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1 (</w:t>
      </w:r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</w:t>
      </w:r>
      <w:bookmarkStart w:id="3" w:name="_Toc439063132"/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). 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Обоснование начальной (максимальной) цены договора.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6"/>
        <w:ind w:left="0"/>
        <w:jc w:val="both"/>
        <w:spacing w:after="0" w:afterAutospacing="0" w:line="283" w:lineRule="atLeast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color w:val="000000" w:themeColor="text1"/>
          <w:sz w:val="24"/>
          <w:szCs w:val="24"/>
          <w:highlight w:val="none"/>
        </w:rPr>
        <w:outlineLvl w:val="0"/>
      </w:pPr>
      <w:r>
        <w:rPr>
          <w:color w:val="000000" w:themeColor="text1"/>
          <w:sz w:val="24"/>
          <w:szCs w:val="24"/>
          <w:highlight w:val="none"/>
        </w:rPr>
      </w:r>
      <w:bookmarkStart w:id="4" w:name="_Toc8120155"/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2</w:t>
      </w:r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(</w:t>
      </w:r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bookmarkEnd w:id="4"/>
      <w:r>
        <w:rPr>
          <w:color w:val="000000" w:themeColor="text1"/>
          <w:sz w:val="24"/>
          <w:szCs w:val="24"/>
          <w:highlight w:val="none"/>
        </w:rPr>
        <w:t xml:space="preserve">Проект договора.</w:t>
      </w:r>
      <w:r>
        <w:rPr>
          <w:i/>
          <w:color w:val="000000" w:themeColor="text1"/>
          <w:sz w:val="24"/>
          <w:szCs w:val="24"/>
          <w:highlight w:val="none"/>
        </w:rPr>
        <w:t xml:space="preserve"> </w:t>
      </w:r>
      <w:bookmarkEnd w:id="3"/>
      <w:r>
        <w:rPr>
          <w:i/>
          <w:color w:val="000000" w:themeColor="text1"/>
          <w:sz w:val="24"/>
          <w:szCs w:val="24"/>
          <w:highlight w:val="none"/>
        </w:rPr>
      </w:r>
      <w:r>
        <w:rPr>
          <w:i/>
          <w:color w:val="000000" w:themeColor="text1"/>
          <w:sz w:val="24"/>
          <w:szCs w:val="24"/>
          <w:highlight w:val="none"/>
        </w:rPr>
      </w:r>
    </w:p>
    <w:p>
      <w:pPr>
        <w:pStyle w:val="956"/>
        <w:ind w:left="0"/>
        <w:jc w:val="both"/>
        <w:spacing w:after="0" w:afterAutospacing="0" w:line="283" w:lineRule="atLeast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3 (</w:t>
      </w:r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r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Техническое предложение.</w:t>
      </w:r>
      <w:r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56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000000" w:themeColor="text1"/>
          <w:sz w:val="24"/>
          <w:szCs w:val="24"/>
          <w:highlight w:val="none"/>
        </w:rPr>
        <w:outlineLvl w:val="0"/>
      </w:pP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Приложение </w:t>
      </w: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4</w:t>
      </w:r>
      <w:r>
        <w:rPr>
          <w:rStyle w:val="976"/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  <w:t xml:space="preserve"> (</w:t>
      </w:r>
      <w:r>
        <w:rPr>
          <w:rStyle w:val="976"/>
          <w:rFonts w:ascii="Times New Roman" w:hAnsi="Times New Roman" w:cs="Times New Roman"/>
          <w:i/>
          <w:color w:val="000000" w:themeColor="text1"/>
          <w:sz w:val="24"/>
          <w:szCs w:val="24"/>
          <w:highlight w:val="none"/>
        </w:rPr>
        <w:t xml:space="preserve">обязательное). </w:t>
      </w:r>
      <w:r>
        <w:rPr>
          <w:rStyle w:val="976"/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t xml:space="preserve">Расчет</w:t>
      </w:r>
      <w:r>
        <w:rPr>
          <w:color w:val="000000" w:themeColor="text1"/>
          <w:sz w:val="24"/>
          <w:szCs w:val="24"/>
          <w:highlight w:val="none"/>
        </w:rPr>
        <w:t xml:space="preserve"> стоимости </w:t>
      </w:r>
      <w:r>
        <w:rPr>
          <w:color w:val="000000" w:themeColor="text1"/>
          <w:sz w:val="24"/>
          <w:szCs w:val="24"/>
          <w:highlight w:val="none"/>
        </w:rPr>
        <w:t xml:space="preserve">услуг</w:t>
      </w:r>
      <w:r>
        <w:rPr>
          <w:color w:val="000000" w:themeColor="text1"/>
          <w:sz w:val="24"/>
          <w:szCs w:val="24"/>
          <w:highlight w:val="none"/>
        </w:rPr>
        <w:t xml:space="preserve">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Техническое задание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оставил:</w:t>
      </w:r>
      <w:r>
        <w:rPr>
          <w:b/>
          <w:color w:val="000000" w:themeColor="text1"/>
          <w:sz w:val="24"/>
          <w:szCs w:val="24"/>
          <w:highlight w:val="none"/>
        </w:rPr>
        <w:tab/>
      </w:r>
      <w:r>
        <w:rPr>
          <w:b/>
          <w:color w:val="000000" w:themeColor="text1"/>
          <w:sz w:val="24"/>
          <w:szCs w:val="24"/>
          <w:highlight w:val="none"/>
        </w:rPr>
        <w:tab/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960"/>
        <w:gridCol w:w="4391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  <w:t xml:space="preserve">Фамилия, инициалы</w:t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0" w:type="dxa"/>
            <w:vAlign w:val="bottom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Главный эксперт ДПБОТиПК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1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________________ Елисеева В.П.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left="5387"/>
        <w:pageBreakBefore/>
        <w:rPr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Приложение 1 к </w:t>
      </w:r>
      <w:r>
        <w:rPr>
          <w:color w:val="000000" w:themeColor="text1"/>
          <w:sz w:val="24"/>
          <w:szCs w:val="24"/>
          <w:highlight w:val="none"/>
        </w:rPr>
        <w:t xml:space="preserve">Техническому заданию (обязательное)</w:t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ind w:firstLine="851"/>
        <w:jc w:val="center"/>
        <w:spacing w:before="0" w:beforeAutospacing="0" w:after="0" w:afterAutospacing="0" w:line="343" w:lineRule="atLeast"/>
        <w:shd w:val="clear" w:color="auto" w:fill="ffffff"/>
        <w:rPr>
          <w:color w:val="000000" w:themeColor="text1"/>
          <w:sz w:val="24"/>
          <w:szCs w:val="24"/>
          <w:highlight w:val="none"/>
        </w:rPr>
        <w:pBdr>
          <w:bottom w:val="single" w:color="000000" w:sz="12" w:space="0"/>
        </w:pBdr>
        <w:outlineLvl w:val="1"/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851"/>
        <w:jc w:val="center"/>
        <w:spacing w:before="0" w:beforeAutospacing="0" w:after="0" w:afterAutospacing="0" w:line="343" w:lineRule="atLeast"/>
        <w:shd w:val="clear" w:color="auto" w:fill="ffffff"/>
        <w:rPr>
          <w:color w:val="000000" w:themeColor="text1"/>
          <w:sz w:val="24"/>
          <w:szCs w:val="24"/>
          <w:highlight w:val="none"/>
        </w:rPr>
        <w:pBdr>
          <w:bottom w:val="single" w:color="000000" w:sz="12" w:space="0"/>
        </w:pBdr>
        <w:outlineLvl w:val="1"/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Обоснование начальной (максимальной) цены договора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851"/>
        <w:jc w:val="center"/>
        <w:spacing w:before="0" w:beforeAutospacing="0" w:after="0" w:afterAutospacing="0" w:line="343" w:lineRule="atLeast"/>
        <w:shd w:val="clear" w:color="auto" w:fill="ffffff"/>
        <w:rPr>
          <w:color w:val="000000" w:themeColor="text1"/>
          <w:sz w:val="24"/>
          <w:szCs w:val="24"/>
          <w:highlight w:val="none"/>
        </w:rPr>
        <w:pBdr>
          <w:bottom w:val="single" w:color="000000" w:sz="12" w:space="0"/>
        </w:pBdr>
        <w:outlineLvl w:val="1"/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  <w:t xml:space="preserve">оказания услуг по проведению измерений факторов производственной среды на рабочих местах исполнительного аппарата ПАО «Россети Урал».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  <w:trHeight w:val="511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bookmarkStart w:id="0" w:name="undefined"/>
            <w:r>
              <w:rPr>
                <w:sz w:val="24"/>
                <w:szCs w:val="24"/>
                <w:highlight w:val="none"/>
              </w:rPr>
            </w:r>
            <w:bookmarkEnd w:id="0"/>
            <w:r>
              <w:rPr>
                <w:sz w:val="24"/>
                <w:szCs w:val="24"/>
                <w:highlight w:val="none"/>
              </w:rPr>
              <w:t xml:space="preserve">Начальная (максимальная) цена договора, руб. с НДС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jc w:val="both"/>
              <w:spacing w:after="300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48 495,00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80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сопоставимых рыночных цен (анализа рынка)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jc w:val="both"/>
              <w:spacing w:after="300"/>
              <w:rPr>
                <w:i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t xml:space="preserve">Единый Стандарт Закупок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right="76"/>
        <w:jc w:val="both"/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num" w:pos="0" w:leader="none"/>
        </w:tabs>
        <w:rPr>
          <w:bCs/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, руб. с НДС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tbl>
      <w:tblPr>
        <w:tblW w:w="5002" w:type="pct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107"/>
        <w:gridCol w:w="1559"/>
        <w:gridCol w:w="1559"/>
        <w:gridCol w:w="1559"/>
      </w:tblGrid>
      <w:tr>
        <w:tblPrEx/>
        <w:trPr>
          <w:trHeight w:val="841"/>
        </w:trPr>
        <w:tc>
          <w:tcPr>
            <w:tcW w:w="510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 xml:space="preserve">Наименование 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№ 1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№ 2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№ 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635"/>
        </w:trPr>
        <w:tc>
          <w:tcPr>
            <w:shd w:val="clear" w:color="ffffff" w:fill="ffffff"/>
            <w:tcW w:w="5107" w:type="dxa"/>
            <w:textDirection w:val="lrTb"/>
            <w:noWrap w:val="false"/>
          </w:tcPr>
          <w:p>
            <w:pPr>
              <w:pStyle w:val="955"/>
              <w:jc w:val="both"/>
              <w:rPr>
                <w:b/>
                <w:bCs/>
                <w:highlight w:val="none"/>
              </w:rPr>
              <w:outlineLvl w:val="1"/>
            </w:pPr>
            <w:r>
              <w:rPr>
                <w:b w:val="0"/>
                <w:bCs w:val="0"/>
                <w:highlight w:val="none"/>
              </w:rPr>
              <w:t xml:space="preserve">Проведение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измерений факторов производственной среды на рабочих местах исполнительного аппарата ПАО «Россети Урал»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54 378,00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48 495,00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52 470,00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bCs/>
          <w:color w:val="000000" w:themeColor="text1"/>
          <w:sz w:val="24"/>
          <w:szCs w:val="24"/>
          <w:highlight w:val="none"/>
        </w:rPr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  <w:r>
        <w:rPr>
          <w:bCs/>
          <w:color w:val="000000" w:themeColor="text1"/>
          <w:sz w:val="24"/>
          <w:szCs w:val="24"/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bookmarkStart w:id="15" w:name="_Toc536483690"/>
      <w:r>
        <w:rPr>
          <w:color w:val="000000" w:themeColor="text1"/>
          <w:sz w:val="24"/>
          <w:szCs w:val="24"/>
          <w:highlight w:val="none"/>
        </w:rPr>
      </w:r>
      <w:bookmarkStart w:id="16" w:name="_Toc536628829"/>
      <w:r>
        <w:rPr>
          <w:color w:val="000000" w:themeColor="text1"/>
          <w:sz w:val="24"/>
          <w:szCs w:val="24"/>
          <w:highlight w:val="none"/>
        </w:rPr>
      </w:r>
      <w:bookmarkStart w:id="17" w:name="_Toc2757058"/>
      <w:r>
        <w:rPr>
          <w:color w:val="000000" w:themeColor="text1"/>
          <w:sz w:val="24"/>
          <w:szCs w:val="24"/>
          <w:highlight w:val="none"/>
        </w:rPr>
        <w:t xml:space="preserve">Приложение №3 к Техническому заданию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5"/>
        <w:jc w:val="center"/>
        <w:rPr>
          <w:b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bookmarkEnd w:id="15"/>
      <w:r>
        <w:rPr>
          <w:color w:val="000000" w:themeColor="text1"/>
          <w:sz w:val="24"/>
          <w:szCs w:val="24"/>
          <w:highlight w:val="none"/>
        </w:rPr>
      </w:r>
      <w:bookmarkEnd w:id="16"/>
      <w:r>
        <w:rPr>
          <w:color w:val="000000" w:themeColor="text1"/>
          <w:sz w:val="24"/>
          <w:szCs w:val="24"/>
          <w:highlight w:val="none"/>
        </w:rPr>
      </w:r>
      <w:bookmarkEnd w:id="17"/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none"/>
        </w:rPr>
      </w:r>
    </w:p>
    <w:p>
      <w:pPr>
        <w:pStyle w:val="955"/>
        <w:jc w:val="center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  <w:t xml:space="preserve">ФОРМА. ТЕХНИЧЕСКОЕ ПРЕДЛОЖЕНИЕ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955"/>
        <w:jc w:val="center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right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  <w:t xml:space="preserve">Приложение к письму о подаче оферты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right"/>
        <w:spacing w:after="0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от «</w:t>
      </w:r>
      <w:r>
        <w:rPr>
          <w:color w:val="000000" w:themeColor="text1"/>
          <w:sz w:val="24"/>
          <w:szCs w:val="24"/>
          <w:highlight w:val="none"/>
        </w:rPr>
        <w:t xml:space="preserve">__</w:t>
      </w:r>
      <w:r>
        <w:rPr>
          <w:color w:val="000000" w:themeColor="text1"/>
          <w:sz w:val="24"/>
          <w:szCs w:val="24"/>
          <w:highlight w:val="none"/>
        </w:rPr>
        <w:t xml:space="preserve">» </w:t>
      </w:r>
      <w:r>
        <w:rPr>
          <w:color w:val="000000" w:themeColor="text1"/>
          <w:sz w:val="24"/>
          <w:szCs w:val="24"/>
          <w:highlight w:val="none"/>
        </w:rPr>
        <w:t xml:space="preserve">_____</w:t>
      </w:r>
      <w:r>
        <w:rPr>
          <w:color w:val="000000" w:themeColor="text1"/>
          <w:sz w:val="24"/>
          <w:szCs w:val="24"/>
          <w:highlight w:val="none"/>
        </w:rPr>
        <w:t xml:space="preserve"> 202_</w:t>
      </w:r>
      <w:r>
        <w:rPr>
          <w:color w:val="000000" w:themeColor="text1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г</w:t>
      </w:r>
      <w:r>
        <w:rPr>
          <w:color w:val="000000" w:themeColor="text1"/>
          <w:sz w:val="24"/>
          <w:szCs w:val="24"/>
          <w:highlight w:val="none"/>
        </w:rPr>
        <w:t xml:space="preserve">ода</w:t>
      </w:r>
      <w:r>
        <w:rPr>
          <w:color w:val="000000" w:themeColor="text1"/>
          <w:sz w:val="24"/>
          <w:szCs w:val="24"/>
          <w:highlight w:val="none"/>
        </w:rPr>
        <w:t xml:space="preserve"> № </w:t>
      </w:r>
      <w:r>
        <w:rPr>
          <w:color w:val="000000" w:themeColor="text1"/>
          <w:sz w:val="24"/>
          <w:szCs w:val="24"/>
          <w:highlight w:val="none"/>
        </w:rPr>
        <w:t xml:space="preserve">_____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right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jc w:val="center"/>
        <w:spacing w:after="0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color w:val="000000" w:themeColor="text1"/>
          <w:sz w:val="24"/>
          <w:szCs w:val="24"/>
          <w:highlight w:val="none"/>
        </w:rPr>
      </w:r>
      <w:bookmarkStart w:id="0" w:name="undefined"/>
      <w:r>
        <w:rPr>
          <w:b/>
          <w:color w:val="000000" w:themeColor="text1"/>
          <w:sz w:val="24"/>
          <w:szCs w:val="24"/>
          <w:highlight w:val="none"/>
        </w:rPr>
        <w:t xml:space="preserve">Техническое предложение</w:t>
      </w:r>
      <w:bookmarkEnd w:id="0"/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color w:val="000000" w:themeColor="text1"/>
          <w:sz w:val="24"/>
          <w:szCs w:val="24"/>
          <w:highlight w:val="none"/>
        </w:rPr>
      </w:pPr>
      <w:r>
        <w:rPr>
          <w:b/>
          <w:i/>
          <w:iCs/>
          <w:color w:val="000000" w:themeColor="text1"/>
          <w:sz w:val="24"/>
          <w:szCs w:val="24"/>
          <w:highlight w:val="none"/>
        </w:rPr>
      </w:r>
      <w:r>
        <w:rPr>
          <w:b/>
          <w:bCs/>
          <w:i/>
          <w:color w:val="000000" w:themeColor="text1"/>
          <w:sz w:val="24"/>
          <w:szCs w:val="24"/>
          <w:highlight w:val="none"/>
        </w:rPr>
      </w:r>
      <w:r>
        <w:rPr>
          <w:b/>
          <w:bCs/>
          <w:i/>
          <w:color w:val="000000" w:themeColor="text1"/>
          <w:sz w:val="24"/>
          <w:szCs w:val="24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56"/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pStyle w:val="943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color w:val="000000" w:themeColor="text1"/>
          <w:sz w:val="24"/>
          <w:szCs w:val="24"/>
          <w:highlight w:val="none"/>
        </w:rPr>
      </w:pPr>
      <w:r>
        <w:rPr>
          <w:rStyle w:val="978"/>
          <w:rFonts w:eastAsia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b w:val="0"/>
          <w:i w:val="0"/>
          <w:color w:val="000000" w:themeColor="text1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color w:val="000000" w:themeColor="text1"/>
          <w:sz w:val="24"/>
          <w:szCs w:val="24"/>
          <w:highlight w:val="none"/>
        </w:rPr>
        <w:t xml:space="preserve">4</w:t>
      </w:r>
      <w:r>
        <w:rPr>
          <w:b w:val="0"/>
          <w:i w:val="0"/>
          <w:color w:val="000000" w:themeColor="text1"/>
          <w:sz w:val="24"/>
          <w:szCs w:val="24"/>
          <w:highlight w:val="none"/>
        </w:rPr>
      </w:r>
      <w:r>
        <w:rPr>
          <w:b w:val="0"/>
          <w:i w:val="0"/>
          <w:color w:val="000000" w:themeColor="text1"/>
          <w:sz w:val="24"/>
          <w:szCs w:val="24"/>
          <w:highlight w:val="none"/>
        </w:rPr>
      </w:r>
    </w:p>
    <w:p>
      <w:pPr>
        <w:pStyle w:val="968"/>
        <w:jc w:val="right"/>
        <w:spacing w:line="240" w:lineRule="atLeast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pPr>
        <w:pStyle w:val="971"/>
        <w:jc w:val="center"/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  <w:t xml:space="preserve">Расчет стоимости</w:t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  <w:t xml:space="preserve"> услуг</w:t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pacing w:val="0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55"/>
        <w:rPr>
          <w:bCs/>
          <w:i/>
          <w:highlight w:val="yellow"/>
        </w:rPr>
      </w:pPr>
      <w:r>
        <w:rPr>
          <w:i/>
          <w:highlight w:val="yellow"/>
        </w:rPr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531"/>
        <w:gridCol w:w="3153"/>
        <w:gridCol w:w="1134"/>
        <w:gridCol w:w="1134"/>
        <w:gridCol w:w="1276"/>
        <w:gridCol w:w="1276"/>
        <w:gridCol w:w="1276"/>
      </w:tblGrid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Наименование 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Кол</w:t>
            </w:r>
            <w:r>
              <w:rPr>
                <w:bCs/>
                <w:sz w:val="22"/>
                <w:szCs w:val="22"/>
                <w:highlight w:val="none"/>
              </w:rPr>
              <w:t xml:space="preserve">-</w:t>
            </w:r>
            <w:r>
              <w:rPr>
                <w:bCs/>
                <w:sz w:val="22"/>
                <w:szCs w:val="22"/>
                <w:highlight w:val="none"/>
              </w:rPr>
              <w:t xml:space="preserve">во точек замеров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Цена   за  1ед.</w:t>
            </w:r>
            <w:r>
              <w:rPr>
                <w:bCs/>
                <w:sz w:val="22"/>
                <w:szCs w:val="22"/>
                <w:highlight w:val="none"/>
              </w:rPr>
              <w:t xml:space="preserve">, руб. без НДС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Цена   за  1ед.</w:t>
            </w:r>
            <w:r>
              <w:rPr>
                <w:bCs/>
                <w:sz w:val="22"/>
                <w:szCs w:val="22"/>
                <w:highlight w:val="none"/>
              </w:rPr>
              <w:t xml:space="preserve">, руб. </w:t>
            </w:r>
            <w:r>
              <w:rPr>
                <w:bCs/>
                <w:sz w:val="22"/>
                <w:szCs w:val="22"/>
                <w:highlight w:val="none"/>
              </w:rPr>
              <w:t xml:space="preserve">с</w:t>
            </w:r>
            <w:r>
              <w:rPr>
                <w:bCs/>
                <w:sz w:val="22"/>
                <w:szCs w:val="22"/>
                <w:highlight w:val="none"/>
              </w:rPr>
              <w:t xml:space="preserve">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без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Стоимость              руб. с НДС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</w:rPr>
              <w:t xml:space="preserve">Проведение измерений факторов производственной среды на рабочих местах исполнительного аппарата ПАО «Россети Урал», в т.ч.</w:t>
            </w:r>
            <w:r>
              <w:rPr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159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250,00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305,00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39 750,00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48 495,00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22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/>
                <w:i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/>
                <w:iCs/>
                <w:sz w:val="20"/>
                <w:szCs w:val="20"/>
                <w:highlight w:val="none"/>
              </w:rPr>
              <w:t xml:space="preserve">Микроклимат</w:t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  <w:t xml:space="preserve">30</w:t>
            </w:r>
            <w:r>
              <w:rPr>
                <w:bCs/>
                <w:i/>
                <w:sz w:val="20"/>
                <w:szCs w:val="20"/>
                <w:highlight w:val="none"/>
              </w:rPr>
            </w:r>
            <w:r>
              <w:rPr>
                <w:bCs/>
                <w:i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</w:tr>
      <w:tr>
        <w:tblPrEx/>
        <w:trPr>
          <w:trHeight w:val="12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/>
                <w:i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/>
                <w:iCs/>
                <w:sz w:val="20"/>
                <w:szCs w:val="20"/>
                <w:highlight w:val="none"/>
              </w:rPr>
              <w:t xml:space="preserve">Освещенность</w:t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  <w:t xml:space="preserve">30</w:t>
            </w:r>
            <w:r>
              <w:rPr>
                <w:bCs/>
                <w:i/>
                <w:sz w:val="20"/>
                <w:szCs w:val="20"/>
                <w:highlight w:val="none"/>
              </w:rPr>
            </w:r>
            <w:r>
              <w:rPr>
                <w:bCs/>
                <w:i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</w:tr>
      <w:tr>
        <w:tblPrEx/>
        <w:trPr>
          <w:trHeight w:val="2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/>
                <w:i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/>
                <w:iCs/>
                <w:sz w:val="20"/>
                <w:szCs w:val="20"/>
                <w:highlight w:val="none"/>
              </w:rPr>
              <w:t xml:space="preserve">Углерода оксид</w:t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  <w:t xml:space="preserve">33</w:t>
            </w:r>
            <w:r>
              <w:rPr>
                <w:bCs/>
                <w:i/>
                <w:sz w:val="20"/>
                <w:szCs w:val="20"/>
                <w:highlight w:val="none"/>
              </w:rPr>
            </w:r>
            <w:r>
              <w:rPr>
                <w:bCs/>
                <w:i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</w:tr>
      <w:tr>
        <w:tblPrEx/>
        <w:trPr>
          <w:trHeight w:val="67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/>
                <w:i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/>
                <w:iCs/>
                <w:sz w:val="20"/>
                <w:szCs w:val="20"/>
                <w:highlight w:val="none"/>
              </w:rPr>
              <w:t xml:space="preserve">Азота оксид</w:t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  <w:t xml:space="preserve">33</w:t>
            </w:r>
            <w:r>
              <w:rPr>
                <w:bCs/>
                <w:i/>
                <w:sz w:val="20"/>
                <w:szCs w:val="20"/>
                <w:highlight w:val="none"/>
              </w:rPr>
            </w:r>
            <w:r>
              <w:rPr>
                <w:bCs/>
                <w:i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/>
                <w:i/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i/>
                <w:iCs/>
                <w:sz w:val="20"/>
                <w:szCs w:val="20"/>
                <w:highlight w:val="none"/>
              </w:rPr>
              <w:t xml:space="preserve">Углеводороды алифатические предельные</w:t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  <w:r>
              <w:rPr>
                <w:b w:val="0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0"/>
                <w:szCs w:val="20"/>
                <w:highlight w:val="none"/>
              </w:rPr>
            </w:pPr>
            <w:r>
              <w:rPr>
                <w:i/>
                <w:iCs/>
                <w:sz w:val="20"/>
                <w:szCs w:val="20"/>
                <w:highlight w:val="none"/>
              </w:rPr>
              <w:t xml:space="preserve">33</w:t>
            </w:r>
            <w:r>
              <w:rPr>
                <w:bCs/>
                <w:i/>
                <w:sz w:val="20"/>
                <w:szCs w:val="20"/>
                <w:highlight w:val="none"/>
              </w:rPr>
            </w:r>
            <w:r>
              <w:rPr>
                <w:bCs/>
                <w:i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vMerge w:val="continue"/>
            <w:textDirection w:val="lrTb"/>
            <w:noWrap/>
          </w:tcPr>
          <w:p>
            <w:r/>
            <w:r/>
          </w:p>
        </w:tc>
      </w:tr>
      <w:tr>
        <w:tblPrEx/>
        <w:trPr>
          <w:trHeight w:val="459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97" w:type="dxa"/>
            <w:vAlign w:val="top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39 750,00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48 495,00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2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top"/>
            <w:textDirection w:val="lrTb"/>
            <w:noWrap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697" w:type="dxa"/>
            <w:vAlign w:val="top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bdd6ee" w:themeFill="accent1" w:themeFillTint="6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bdd6ee" w:themeFill="accent1" w:themeFillTint="6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55"/>
        <w:rPr>
          <w:bCs/>
          <w:i/>
          <w:highlight w:val="none"/>
        </w:rPr>
      </w:pPr>
      <w:r>
        <w:rPr>
          <w:i/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55"/>
        <w:rPr>
          <w:bCs/>
          <w:i/>
          <w:highlight w:val="none"/>
        </w:rPr>
      </w:pPr>
      <w:r>
        <w:rPr>
          <w:i/>
          <w:highlight w:val="none"/>
        </w:rPr>
        <w:t xml:space="preserve">* заполняется </w:t>
      </w:r>
      <w:r>
        <w:rPr>
          <w:i/>
          <w:highlight w:val="none"/>
        </w:rPr>
        <w:t xml:space="preserve">Участником закупки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55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5"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5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5"/>
        <w:jc w:val="both"/>
        <w:rPr>
          <w:highlight w:val="none"/>
        </w:rPr>
      </w:pPr>
      <w:r>
        <w:rPr>
          <w:highlight w:val="none"/>
        </w:rPr>
        <w:t xml:space="preserve">Руководитель организации      </w:t>
      </w:r>
      <w:r>
        <w:rPr>
          <w:highlight w:val="none"/>
        </w:rPr>
        <w:t xml:space="preserve">                   </w:t>
      </w:r>
      <w:r>
        <w:rPr>
          <w:highlight w:val="none"/>
        </w:rPr>
        <w:t xml:space="preserve">подпись                                       ФИО</w:t>
      </w:r>
      <w:r>
        <w:rPr>
          <w:highlight w:val="none"/>
        </w:rPr>
      </w:r>
      <w:r>
        <w:rPr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pStyle w:val="943"/>
        <w:ind w:left="567"/>
        <w:jc w:val="center"/>
        <w:tabs>
          <w:tab w:val="left" w:pos="993" w:leader="none"/>
        </w:tabs>
        <w:rPr>
          <w:i w:val="0"/>
          <w:color w:val="000000" w:themeColor="text1"/>
          <w:sz w:val="24"/>
          <w:szCs w:val="24"/>
          <w:highlight w:val="none"/>
        </w:rPr>
      </w:pP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  <w:r>
        <w:rPr>
          <w:i w:val="0"/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06T15:3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B99262E"/>
  <w16cid:commentId w16cid:paraId="00000004" w16cid:durableId="407AFF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96"/>
        <w:jc w:val="both"/>
      </w:pPr>
      <w:r>
        <w:rPr>
          <w:rStyle w:val="998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87"/>
    <w:lvl w:ilvl="0">
      <w:start w:val="1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85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86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8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9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90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91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numStyleLink w:val="98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numStyleLink w:val="98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1"/>
  </w:num>
  <w:num w:numId="5">
    <w:abstractNumId w:val="7"/>
  </w:num>
  <w:num w:numId="6">
    <w:abstractNumId w:val="16"/>
  </w:num>
  <w:num w:numId="7">
    <w:abstractNumId w:val="22"/>
  </w:num>
  <w:num w:numId="8">
    <w:abstractNumId w:val="5"/>
  </w:num>
  <w:num w:numId="9">
    <w:abstractNumId w:val="2"/>
  </w:num>
  <w:num w:numId="10">
    <w:abstractNumId w:val="24"/>
  </w:num>
  <w:num w:numId="11">
    <w:abstractNumId w:val="18"/>
  </w:num>
  <w:num w:numId="12">
    <w:abstractNumId w:val="10"/>
  </w:num>
  <w:num w:numId="13">
    <w:abstractNumId w:val="12"/>
  </w:num>
  <w:num w:numId="14">
    <w:abstractNumId w:val="17"/>
  </w:num>
  <w:num w:numId="15">
    <w:abstractNumId w:val="3"/>
  </w:num>
  <w:num w:numId="16">
    <w:abstractNumId w:val="4"/>
  </w:num>
  <w:num w:numId="17">
    <w:abstractNumId w:val="6"/>
  </w:num>
  <w:num w:numId="18">
    <w:abstractNumId w:val="19"/>
  </w:num>
  <w:num w:numId="19">
    <w:abstractNumId w:val="0"/>
  </w:num>
  <w:num w:numId="20">
    <w:abstractNumId w:val="23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21"/>
    <w:lvlOverride w:ilvl="0">
      <w:lvl w:ilvl="0">
        <w:start w:val="1"/>
        <w:numFmt w:val="decimal"/>
        <w:pStyle w:val="984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85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86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8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9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90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91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1"/>
    <w:lvlOverride w:ilvl="0">
      <w:startOverride w:val="1"/>
      <w:lvl w:ilvl="0">
        <w:start w:val="1"/>
        <w:numFmt w:val="decimal"/>
        <w:pStyle w:val="984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85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1"/>
    <w:lvlOverride w:ilvl="0">
      <w:lvl w:ilvl="0">
        <w:start w:val="1"/>
        <w:numFmt w:val="decimal"/>
        <w:pStyle w:val="984"/>
        <w:isLgl w:val="false"/>
        <w:suff w:val="tab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985"/>
        <w:isLgl w:val="false"/>
        <w:suff w:val="tab"/>
        <w:lvlText w:val="%1.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pStyle w:val="986"/>
        <w:isLgl w:val="false"/>
        <w:suff w:val="tab"/>
        <w:lvlText w:val="%1.%2.%3."/>
        <w:lvlJc w:val="left"/>
        <w:pPr>
          <w:ind w:left="1135" w:hanging="567"/>
        </w:pPr>
      </w:lvl>
    </w:lvlOverride>
    <w:lvlOverride w:ilvl="3">
      <w:lvl w:ilvl="3">
        <w:start w:val="1"/>
        <w:numFmt w:val="decimal"/>
        <w:pStyle w:val="988"/>
        <w:isLgl w:val="false"/>
        <w:suff w:val="tab"/>
        <w:lvlText w:val="%1.%2.%3.%4."/>
        <w:lvlJc w:val="left"/>
        <w:pPr>
          <w:ind w:left="1816" w:hanging="681"/>
        </w:pPr>
      </w:lvl>
    </w:lvlOverride>
    <w:lvlOverride w:ilvl="4">
      <w:lvl w:ilvl="4">
        <w:start w:val="1"/>
        <w:numFmt w:val="decimal"/>
        <w:pStyle w:val="989"/>
        <w:isLgl w:val="false"/>
        <w:suff w:val="tab"/>
        <w:lvlText w:val="%1.%2.%3.%4.%5."/>
        <w:lvlJc w:val="left"/>
        <w:pPr>
          <w:ind w:left="1304" w:hanging="794"/>
        </w:pPr>
      </w:lvl>
    </w:lvlOverride>
    <w:lvlOverride w:ilvl="5">
      <w:lvl w:ilvl="5">
        <w:start w:val="1"/>
        <w:numFmt w:val="russianLower"/>
        <w:lvlRestart w:val="4"/>
        <w:pStyle w:val="990"/>
        <w:isLgl w:val="false"/>
        <w:suff w:val="tab"/>
        <w:lvlText w:val="%6)"/>
        <w:lvlJc w:val="left"/>
        <w:pPr>
          <w:ind w:left="340" w:hanging="340"/>
        </w:pPr>
      </w:lvl>
    </w:lvlOverride>
    <w:lvlOverride w:ilvl="6">
      <w:lvl w:ilvl="6">
        <w:start w:val="1"/>
        <w:numFmt w:val="decimal"/>
        <w:pStyle w:val="991"/>
        <w:isLgl w:val="false"/>
        <w:suff w:val="nothing"/>
        <w:lvlText w:val="Форма %7"/>
        <w:lvlJc w:val="right"/>
        <w:pPr>
          <w:ind w:left="14455" w:firstLine="288"/>
        </w:p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</w:lvl>
    </w:lvlOverride>
  </w:num>
  <w:num w:numId="29">
    <w:abstractNumId w:val="15"/>
  </w:num>
  <w:num w:numId="30">
    <w:abstractNumId w:val="14"/>
  </w:num>
  <w:num w:numId="31">
    <w:abstractNumId w:val="26"/>
  </w:num>
  <w:num w:numId="32">
    <w:abstractNumId w:val="27"/>
  </w:num>
  <w:num w:numId="33">
    <w:abstractNumId w:val="28"/>
  </w:num>
  <w:num w:numId="34">
    <w:abstractNumId w:val="29"/>
  </w:num>
  <w:num w:numId="35">
    <w:abstractNumId w:val="30"/>
  </w:num>
  <w:num w:numId="36">
    <w:abstractNumId w:val="31"/>
  </w:num>
  <w:num w:numId="37">
    <w:abstractNumId w:val="32"/>
  </w:num>
  <w:num w:numId="38">
    <w:abstractNumId w:val="33"/>
  </w:num>
  <w:num w:numId="39">
    <w:abstractNumId w:val="34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  <w:i w:val="0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35"/>
  </w:num>
  <w:num w:numId="41">
    <w:abstractNumId w:val="36"/>
  </w:num>
  <w:num w:numId="42">
    <w:abstractNumId w:val="37"/>
  </w:num>
  <w:num w:numId="43">
    <w:abstractNumId w:val="38"/>
  </w:num>
  <w:num w:numId="44">
    <w:abstractNumId w:val="39"/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  <w:num w:numId="49">
    <w:abstractNumId w:val="44"/>
  </w:num>
  <w:num w:numId="50">
    <w:abstractNumId w:val="45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6">
    <w:name w:val="Heading 1"/>
    <w:basedOn w:val="941"/>
    <w:next w:val="941"/>
    <w:link w:val="7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7">
    <w:name w:val="Heading 1 Char"/>
    <w:basedOn w:val="945"/>
    <w:link w:val="776"/>
    <w:uiPriority w:val="9"/>
    <w:rPr>
      <w:rFonts w:ascii="Arial" w:hAnsi="Arial" w:eastAsia="Arial" w:cs="Arial"/>
      <w:sz w:val="40"/>
      <w:szCs w:val="40"/>
    </w:rPr>
  </w:style>
  <w:style w:type="character" w:styleId="778">
    <w:name w:val="Heading 2 Char"/>
    <w:basedOn w:val="945"/>
    <w:link w:val="942"/>
    <w:uiPriority w:val="9"/>
    <w:rPr>
      <w:rFonts w:ascii="Arial" w:hAnsi="Arial" w:eastAsia="Arial" w:cs="Arial"/>
      <w:sz w:val="34"/>
    </w:rPr>
  </w:style>
  <w:style w:type="paragraph" w:styleId="779">
    <w:name w:val="Heading 3"/>
    <w:basedOn w:val="941"/>
    <w:next w:val="941"/>
    <w:link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0">
    <w:name w:val="Heading 3 Char"/>
    <w:basedOn w:val="945"/>
    <w:link w:val="779"/>
    <w:uiPriority w:val="9"/>
    <w:rPr>
      <w:rFonts w:ascii="Arial" w:hAnsi="Arial" w:eastAsia="Arial" w:cs="Arial"/>
      <w:sz w:val="30"/>
      <w:szCs w:val="30"/>
    </w:rPr>
  </w:style>
  <w:style w:type="paragraph" w:styleId="781">
    <w:name w:val="Heading 4"/>
    <w:basedOn w:val="941"/>
    <w:next w:val="941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2">
    <w:name w:val="Heading 4 Char"/>
    <w:basedOn w:val="945"/>
    <w:link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783">
    <w:name w:val="Heading 5 Char"/>
    <w:basedOn w:val="945"/>
    <w:link w:val="943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basedOn w:val="945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86">
    <w:name w:val="Heading 7 Char"/>
    <w:basedOn w:val="945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7">
    <w:name w:val="Heading 8"/>
    <w:basedOn w:val="941"/>
    <w:next w:val="941"/>
    <w:link w:val="7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8">
    <w:name w:val="Heading 8 Char"/>
    <w:basedOn w:val="945"/>
    <w:link w:val="787"/>
    <w:uiPriority w:val="9"/>
    <w:rPr>
      <w:rFonts w:ascii="Arial" w:hAnsi="Arial" w:eastAsia="Arial" w:cs="Arial"/>
      <w:i/>
      <w:iCs/>
      <w:sz w:val="22"/>
      <w:szCs w:val="22"/>
    </w:rPr>
  </w:style>
  <w:style w:type="paragraph" w:styleId="789">
    <w:name w:val="Heading 9"/>
    <w:basedOn w:val="941"/>
    <w:next w:val="941"/>
    <w:link w:val="7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>
    <w:name w:val="Heading 9 Char"/>
    <w:basedOn w:val="945"/>
    <w:link w:val="789"/>
    <w:uiPriority w:val="9"/>
    <w:rPr>
      <w:rFonts w:ascii="Arial" w:hAnsi="Arial" w:eastAsia="Arial" w:cs="Arial"/>
      <w:i/>
      <w:iCs/>
      <w:sz w:val="21"/>
      <w:szCs w:val="21"/>
    </w:rPr>
  </w:style>
  <w:style w:type="character" w:styleId="791">
    <w:name w:val="Title Char"/>
    <w:basedOn w:val="945"/>
    <w:link w:val="971"/>
    <w:uiPriority w:val="10"/>
    <w:rPr>
      <w:sz w:val="48"/>
      <w:szCs w:val="48"/>
    </w:rPr>
  </w:style>
  <w:style w:type="paragraph" w:styleId="792">
    <w:name w:val="Subtitle"/>
    <w:basedOn w:val="941"/>
    <w:next w:val="941"/>
    <w:link w:val="793"/>
    <w:uiPriority w:val="11"/>
    <w:qFormat/>
    <w:pPr>
      <w:spacing w:before="200" w:after="200"/>
    </w:pPr>
    <w:rPr>
      <w:sz w:val="24"/>
      <w:szCs w:val="24"/>
    </w:rPr>
  </w:style>
  <w:style w:type="character" w:styleId="793">
    <w:name w:val="Subtitle Char"/>
    <w:basedOn w:val="945"/>
    <w:link w:val="792"/>
    <w:uiPriority w:val="11"/>
    <w:rPr>
      <w:sz w:val="24"/>
      <w:szCs w:val="24"/>
    </w:rPr>
  </w:style>
  <w:style w:type="paragraph" w:styleId="794">
    <w:name w:val="Quote"/>
    <w:basedOn w:val="941"/>
    <w:next w:val="941"/>
    <w:link w:val="795"/>
    <w:uiPriority w:val="29"/>
    <w:qFormat/>
    <w:pPr>
      <w:ind w:left="720" w:right="720"/>
    </w:pPr>
    <w:rPr>
      <w:i/>
    </w:rPr>
  </w:style>
  <w:style w:type="character" w:styleId="795">
    <w:name w:val="Quote Char"/>
    <w:link w:val="794"/>
    <w:uiPriority w:val="29"/>
    <w:rPr>
      <w:i/>
    </w:rPr>
  </w:style>
  <w:style w:type="paragraph" w:styleId="796">
    <w:name w:val="Intense Quote"/>
    <w:basedOn w:val="941"/>
    <w:next w:val="941"/>
    <w:link w:val="7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7">
    <w:name w:val="Intense Quote Char"/>
    <w:link w:val="796"/>
    <w:uiPriority w:val="30"/>
    <w:rPr>
      <w:i/>
    </w:rPr>
  </w:style>
  <w:style w:type="character" w:styleId="798">
    <w:name w:val="Header Char"/>
    <w:basedOn w:val="945"/>
    <w:link w:val="953"/>
    <w:uiPriority w:val="99"/>
  </w:style>
  <w:style w:type="character" w:styleId="799">
    <w:name w:val="Footer Char"/>
    <w:basedOn w:val="945"/>
    <w:link w:val="950"/>
    <w:uiPriority w:val="99"/>
  </w:style>
  <w:style w:type="character" w:styleId="800">
    <w:name w:val="Caption Char"/>
    <w:basedOn w:val="945"/>
    <w:link w:val="960"/>
    <w:uiPriority w:val="35"/>
    <w:rPr>
      <w:b/>
      <w:bCs/>
      <w:color w:val="4f81bd" w:themeColor="accent1"/>
      <w:sz w:val="18"/>
      <w:szCs w:val="18"/>
    </w:rPr>
  </w:style>
  <w:style w:type="table" w:styleId="801">
    <w:name w:val="Table Grid"/>
    <w:basedOn w:val="9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Table Grid Light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>
    <w:name w:val="Plain Table 1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9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>
    <w:name w:val="Grid Table 4 - Accent 1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1">
    <w:name w:val="Grid Table 4 - Accent 2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Grid Table 4 - Accent 3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3">
    <w:name w:val="Grid Table 4 - Accent 4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Grid Table 4 - Accent 5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5">
    <w:name w:val="Grid Table 4 - Accent 6"/>
    <w:basedOn w:val="9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6">
    <w:name w:val="Grid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3">
    <w:name w:val="Grid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4">
    <w:name w:val="Grid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5">
    <w:name w:val="Grid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6">
    <w:name w:val="Grid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7">
    <w:name w:val="Grid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8">
    <w:name w:val="Grid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0">
    <w:name w:val="Grid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5">
    <w:name w:val="List Table 2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6">
    <w:name w:val="List Table 2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7">
    <w:name w:val="List Table 2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8">
    <w:name w:val="List Table 2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9">
    <w:name w:val="List Table 2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0">
    <w:name w:val="List Table 2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6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3">
    <w:name w:val="List Table 6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4">
    <w:name w:val="List Table 6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List Table 6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6">
    <w:name w:val="List Table 6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List Table 6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8">
    <w:name w:val="List Table 6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9">
    <w:name w:val="List Table 7 Colorful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0">
    <w:name w:val="List Table 7 Colorful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1">
    <w:name w:val="List Table 7 Colorful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2">
    <w:name w:val="List Table 7 Colorful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3">
    <w:name w:val="List Table 7 Colorful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4">
    <w:name w:val="List Table 7 Colorful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5">
    <w:name w:val="List Table 7 Colorful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6">
    <w:name w:val="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7">
    <w:name w:val="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8">
    <w:name w:val="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9">
    <w:name w:val="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0">
    <w:name w:val="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1">
    <w:name w:val="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2">
    <w:name w:val="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3">
    <w:name w:val="Bordered &amp; Lined - Accent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Bordered &amp; Lined - Accent 1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5">
    <w:name w:val="Bordered &amp; Lined - Accent 2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6">
    <w:name w:val="Bordered &amp; Lined - Accent 3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7">
    <w:name w:val="Bordered &amp; Lined - Accent 4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8">
    <w:name w:val="Bordered &amp; Lined - Accent 5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9">
    <w:name w:val="Bordered &amp; Lined - Accent 6"/>
    <w:basedOn w:val="9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0">
    <w:name w:val="Bordered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1">
    <w:name w:val="Bordered - Accent 1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2">
    <w:name w:val="Bordered - Accent 2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3">
    <w:name w:val="Bordered - Accent 3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4">
    <w:name w:val="Bordered - Accent 4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5">
    <w:name w:val="Bordered - Accent 5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6">
    <w:name w:val="Bordered - Accent 6"/>
    <w:basedOn w:val="9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7">
    <w:name w:val="Footnote Text Char"/>
    <w:link w:val="996"/>
    <w:uiPriority w:val="99"/>
    <w:rPr>
      <w:sz w:val="18"/>
    </w:rPr>
  </w:style>
  <w:style w:type="paragraph" w:styleId="928">
    <w:name w:val="endnote text"/>
    <w:basedOn w:val="941"/>
    <w:link w:val="929"/>
    <w:uiPriority w:val="99"/>
    <w:semiHidden/>
    <w:unhideWhenUsed/>
    <w:pPr>
      <w:spacing w:after="0" w:line="240" w:lineRule="auto"/>
    </w:pPr>
    <w:rPr>
      <w:sz w:val="20"/>
    </w:rPr>
  </w:style>
  <w:style w:type="character" w:styleId="929">
    <w:name w:val="Endnote Text Char"/>
    <w:link w:val="928"/>
    <w:uiPriority w:val="99"/>
    <w:rPr>
      <w:sz w:val="20"/>
    </w:rPr>
  </w:style>
  <w:style w:type="character" w:styleId="930">
    <w:name w:val="endnote reference"/>
    <w:basedOn w:val="945"/>
    <w:uiPriority w:val="99"/>
    <w:semiHidden/>
    <w:unhideWhenUsed/>
    <w:rPr>
      <w:vertAlign w:val="superscript"/>
    </w:rPr>
  </w:style>
  <w:style w:type="paragraph" w:styleId="931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2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3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4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5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>
    <w:name w:val="Heading 2"/>
    <w:basedOn w:val="941"/>
    <w:next w:val="941"/>
    <w:link w:val="976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43">
    <w:name w:val="Heading 5"/>
    <w:basedOn w:val="941"/>
    <w:next w:val="941"/>
    <w:link w:val="948"/>
    <w:uiPriority w:val="9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44">
    <w:name w:val="Heading 7"/>
    <w:basedOn w:val="941"/>
    <w:next w:val="941"/>
    <w:link w:val="949"/>
    <w:uiPriority w:val="9"/>
    <w:qFormat/>
    <w:pPr>
      <w:spacing w:before="240" w:after="60"/>
      <w:outlineLvl w:val="6"/>
    </w:pPr>
    <w:rPr>
      <w:rFonts w:eastAsia="SimSun"/>
    </w:rPr>
  </w:style>
  <w:style w:type="character" w:styleId="945" w:default="1">
    <w:name w:val="Default Paragraph Font"/>
    <w:uiPriority w:val="1"/>
    <w:semiHidden/>
    <w:unhideWhenUsed/>
  </w:style>
  <w:style w:type="table" w:styleId="9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7" w:default="1">
    <w:name w:val="No List"/>
    <w:uiPriority w:val="99"/>
    <w:semiHidden/>
    <w:unhideWhenUsed/>
  </w:style>
  <w:style w:type="character" w:styleId="948" w:customStyle="1">
    <w:name w:val="Заголовок 5 Знак"/>
    <w:basedOn w:val="945"/>
    <w:link w:val="943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49" w:customStyle="1">
    <w:name w:val="Заголовок 7 Знак"/>
    <w:basedOn w:val="945"/>
    <w:link w:val="944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0">
    <w:name w:val="Footer"/>
    <w:basedOn w:val="941"/>
    <w:link w:val="951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51" w:customStyle="1">
    <w:name w:val="Нижний колонтитул Знак"/>
    <w:basedOn w:val="945"/>
    <w:link w:val="950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52">
    <w:name w:val="page number"/>
    <w:basedOn w:val="945"/>
  </w:style>
  <w:style w:type="paragraph" w:styleId="953">
    <w:name w:val="Header"/>
    <w:basedOn w:val="941"/>
    <w:link w:val="9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4" w:customStyle="1">
    <w:name w:val="Верхний колонтитул Знак"/>
    <w:basedOn w:val="945"/>
    <w:link w:val="9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No Spacing"/>
    <w:link w:val="993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6">
    <w:name w:val="List Paragraph"/>
    <w:basedOn w:val="941"/>
    <w:link w:val="983"/>
    <w:uiPriority w:val="34"/>
    <w:qFormat/>
    <w:pPr>
      <w:contextualSpacing/>
      <w:ind w:left="720"/>
    </w:pPr>
  </w:style>
  <w:style w:type="paragraph" w:styleId="957">
    <w:name w:val="Balloon Text"/>
    <w:basedOn w:val="941"/>
    <w:link w:val="95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8" w:customStyle="1">
    <w:name w:val="Текст выноски Знак"/>
    <w:basedOn w:val="945"/>
    <w:link w:val="95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59">
    <w:name w:val="Hyperlink"/>
    <w:uiPriority w:val="99"/>
    <w:rPr>
      <w:color w:val="0000ff"/>
      <w:u w:val="single"/>
    </w:rPr>
  </w:style>
  <w:style w:type="paragraph" w:styleId="960">
    <w:name w:val="Caption"/>
    <w:basedOn w:val="941"/>
    <w:next w:val="941"/>
    <w:link w:val="800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61">
    <w:name w:val="FollowedHyperlink"/>
    <w:basedOn w:val="945"/>
    <w:uiPriority w:val="99"/>
    <w:semiHidden/>
    <w:unhideWhenUsed/>
    <w:rPr>
      <w:color w:val="954f72" w:themeColor="followedHyperlink"/>
      <w:u w:val="single"/>
    </w:rPr>
  </w:style>
  <w:style w:type="paragraph" w:styleId="962">
    <w:name w:val="Body Text Indent"/>
    <w:basedOn w:val="941"/>
    <w:link w:val="963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63" w:customStyle="1">
    <w:name w:val="Основной текст с отступом Знак"/>
    <w:basedOn w:val="945"/>
    <w:link w:val="962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4" w:customStyle="1">
    <w:name w:val="Подпункт"/>
    <w:basedOn w:val="941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65" w:customStyle="1">
    <w:name w:val="Таблица шапка"/>
    <w:basedOn w:val="941"/>
    <w:pPr>
      <w:ind w:left="57" w:right="57"/>
      <w:keepNext/>
      <w:spacing w:before="40" w:after="40"/>
    </w:pPr>
    <w:rPr>
      <w:sz w:val="22"/>
      <w:szCs w:val="20"/>
    </w:rPr>
  </w:style>
  <w:style w:type="paragraph" w:styleId="966" w:customStyle="1">
    <w:name w:val="Таблица текст"/>
    <w:basedOn w:val="941"/>
    <w:pPr>
      <w:ind w:left="57" w:right="57"/>
      <w:spacing w:before="40" w:after="40"/>
    </w:pPr>
    <w:rPr>
      <w:szCs w:val="20"/>
    </w:rPr>
  </w:style>
  <w:style w:type="paragraph" w:styleId="967" w:customStyle="1">
    <w:name w:val="Times 12"/>
    <w:basedOn w:val="941"/>
    <w:pPr>
      <w:ind w:firstLine="567"/>
      <w:jc w:val="both"/>
    </w:pPr>
    <w:rPr>
      <w:szCs w:val="20"/>
      <w:lang w:eastAsia="ar-SA"/>
    </w:rPr>
  </w:style>
  <w:style w:type="paragraph" w:styleId="968" w:customStyle="1">
    <w:name w:val="StGen0"/>
    <w:basedOn w:val="941"/>
    <w:next w:val="971"/>
    <w:link w:val="969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69" w:customStyle="1">
    <w:name w:val="Название Знак"/>
    <w:link w:val="968"/>
    <w:rPr>
      <w:rFonts w:eastAsia="MS Mincho"/>
      <w:b/>
      <w:sz w:val="28"/>
      <w:lang w:val="ru-RU" w:eastAsia="ru-RU" w:bidi="ar-SA"/>
    </w:rPr>
  </w:style>
  <w:style w:type="paragraph" w:styleId="970" w:customStyle="1">
    <w:name w:val="Пункт б/н"/>
    <w:basedOn w:val="941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71">
    <w:name w:val="Title"/>
    <w:basedOn w:val="941"/>
    <w:next w:val="941"/>
    <w:link w:val="972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72" w:customStyle="1">
    <w:name w:val="Заголовок Знак"/>
    <w:basedOn w:val="945"/>
    <w:link w:val="971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73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4" w:customStyle="1">
    <w:name w:val="Абзац списка1"/>
    <w:basedOn w:val="941"/>
    <w:link w:val="975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75" w:customStyle="1">
    <w:name w:val="List Paragraph Char"/>
    <w:link w:val="974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76" w:customStyle="1">
    <w:name w:val="Заголовок 2 Знак"/>
    <w:basedOn w:val="945"/>
    <w:link w:val="94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77" w:customStyle="1">
    <w:name w:val="StGen1"/>
    <w:basedOn w:val="941"/>
    <w:next w:val="971"/>
    <w:qFormat/>
    <w:pPr>
      <w:jc w:val="center"/>
    </w:pPr>
    <w:rPr>
      <w:b/>
      <w:sz w:val="28"/>
      <w:szCs w:val="20"/>
    </w:rPr>
  </w:style>
  <w:style w:type="character" w:styleId="978">
    <w:name w:val="annotation reference"/>
    <w:basedOn w:val="945"/>
    <w:uiPriority w:val="99"/>
    <w:unhideWhenUsed/>
    <w:rPr>
      <w:sz w:val="16"/>
      <w:szCs w:val="16"/>
    </w:rPr>
  </w:style>
  <w:style w:type="paragraph" w:styleId="979">
    <w:name w:val="annotation text"/>
    <w:basedOn w:val="941"/>
    <w:link w:val="980"/>
    <w:uiPriority w:val="99"/>
    <w:unhideWhenUsed/>
    <w:rPr>
      <w:sz w:val="20"/>
      <w:szCs w:val="20"/>
    </w:rPr>
  </w:style>
  <w:style w:type="character" w:styleId="980" w:customStyle="1">
    <w:name w:val="Текст примечания Знак"/>
    <w:basedOn w:val="945"/>
    <w:link w:val="97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1">
    <w:name w:val="annotation subject"/>
    <w:basedOn w:val="979"/>
    <w:next w:val="979"/>
    <w:link w:val="982"/>
    <w:uiPriority w:val="99"/>
    <w:semiHidden/>
    <w:unhideWhenUsed/>
    <w:rPr>
      <w:b/>
      <w:bCs/>
    </w:rPr>
  </w:style>
  <w:style w:type="character" w:styleId="982" w:customStyle="1">
    <w:name w:val="Тема примечания Знак"/>
    <w:basedOn w:val="980"/>
    <w:link w:val="981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83" w:customStyle="1">
    <w:name w:val="Абзац списка Знак"/>
    <w:basedOn w:val="945"/>
    <w:link w:val="956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85" w:customStyle="1">
    <w:name w:val="2-з"/>
    <w:basedOn w:val="941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86" w:customStyle="1">
    <w:name w:val="3-з"/>
    <w:link w:val="992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7" w:customStyle="1">
    <w:name w:val="нумерация"/>
    <w:uiPriority w:val="99"/>
    <w:pPr>
      <w:numPr>
        <w:ilvl w:val="0"/>
        <w:numId w:val="23"/>
      </w:numPr>
    </w:pPr>
  </w:style>
  <w:style w:type="paragraph" w:styleId="988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9" w:customStyle="1">
    <w:name w:val="5-з"/>
    <w:basedOn w:val="941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90" w:customStyle="1">
    <w:name w:val="6-буквы"/>
    <w:basedOn w:val="941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91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92" w:customStyle="1">
    <w:name w:val="3-з Знак"/>
    <w:basedOn w:val="945"/>
    <w:link w:val="986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93" w:customStyle="1">
    <w:name w:val="Без интервала Знак"/>
    <w:link w:val="95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>
    <w:name w:val="toc 6"/>
    <w:basedOn w:val="941"/>
    <w:next w:val="941"/>
    <w:uiPriority w:val="39"/>
    <w:semiHidden/>
    <w:pPr>
      <w:ind w:left="1400" w:firstLine="567"/>
      <w:spacing w:line="360" w:lineRule="auto"/>
    </w:pPr>
    <w:rPr>
      <w:sz w:val="18"/>
      <w:szCs w:val="18"/>
    </w:rPr>
  </w:style>
  <w:style w:type="paragraph" w:styleId="99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96">
    <w:name w:val="footnote text"/>
    <w:basedOn w:val="941"/>
    <w:link w:val="997"/>
    <w:uiPriority w:val="99"/>
    <w:unhideWhenUsed/>
    <w:rPr>
      <w:sz w:val="20"/>
      <w:szCs w:val="20"/>
    </w:rPr>
  </w:style>
  <w:style w:type="character" w:styleId="997" w:customStyle="1">
    <w:name w:val="Текст сноски Знак"/>
    <w:basedOn w:val="945"/>
    <w:link w:val="99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8">
    <w:name w:val="footnote reference"/>
    <w:basedOn w:val="945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nlyoffice.com/commentsDocument" Target="commentsDocument.xml" /><Relationship Id="rId12" Type="http://schemas.onlyoffice.com/commentsExtendedDocument" Target="commentsExtendedDocument.xml" /><Relationship Id="rId13" Type="http://schemas.onlyoffice.com/commentsIdsDocument" Target="commentsIdsDocument.xml" /><Relationship Id="rId14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06FFC-4505-478D-902F-153D23E5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Eliseeva-VP</cp:lastModifiedBy>
  <cp:revision>46</cp:revision>
  <dcterms:created xsi:type="dcterms:W3CDTF">2024-03-05T07:13:00Z</dcterms:created>
  <dcterms:modified xsi:type="dcterms:W3CDTF">2026-09-04T06:00:37Z</dcterms:modified>
</cp:coreProperties>
</file>